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C8" w:rsidRPr="00BF0BC8" w:rsidRDefault="00BF0BC8" w:rsidP="00BF0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0BC8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Изменения </w:t>
      </w:r>
      <w:proofErr w:type="gramStart"/>
      <w:r w:rsidRPr="00BF0BC8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</w:t>
      </w:r>
      <w:proofErr w:type="gramEnd"/>
      <w:r w:rsidRPr="00BF0BC8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BF0BC8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КИМ</w:t>
      </w:r>
      <w:proofErr w:type="gramEnd"/>
      <w:r w:rsidRPr="00BF0BC8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ЕГЭ 2024 года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Русский язык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1. В заданиях 13 и 14 изменены формулировка задания и система ответов (множественный выбор в виде цифр). Одновременно с этим расширен языковой материал.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 Изменена система оценивания ответов на задания 8 и 26.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3. Претерпела изменения формулировка задания 27. Предполагается, что при комментировании проблемы исходного текста примеры-иллюстрации являются неотъемлемой частью пояснений к ним. Уточнено также понятие анализа смысловой связи между примерами-иллюстрациями: «Проанализируйте указанную смысловую связь между примерами-иллюстрациями». Обоснование собственного мнения экзаменуемого требует включения примера-аргумента, опирающегося на жизненный, читательский или историко-культурный опыт экзаменуемого.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4. Скорректированы критерии оценивания выполнения задания 27.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5. Максимальный первичный балл за выполнение работы изменён с 54 до 50 баллов.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Литература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1. Сокращено количество заданий базового уровня сложности с кратким ответом (с 7 до 6).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2. Уточнена тема сочинения 11.4: вместо формулировки, дающей </w:t>
      </w:r>
      <w:proofErr w:type="gramStart"/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экзаменуемому</w:t>
      </w:r>
      <w:proofErr w:type="gramEnd"/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возможность привлекать любые произведения для раскрытия темы, в формулировку включены имена трёх писателей-классиков, из которых требуется выбрать одного.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3. Внесены коррективы в критерии оценивания выполнения заданий с развёрнутым ответом (в части повышения требований к грамотности):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уточнена система оценивания выполнения заданий 4.1/4.2, 9.1/9.2 (оценивание по двум, а не по трём критериям);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уточнён критерий оценивания выполнения заданий 4.1/4.2, 9.1/9.2, 5, 10 «Логичность, соблюдение речевых и грамматических норм» (учитываются не только логические и речевые, но и грамматические ошибки);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уточнены критерии 6, 7, 8 оценивания выполнения заданий 11.1–11.5 (требования к грамотности сочинений).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4. Максимальный первичный балл за выполнение работы изменён с 53 до 48 баллов.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Математика (профильный уровень)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первую часть КИМ включено задание по геометрии (задание 2), проверяющее умения определять координаты точки, вектора, производить операции над векторами, вычислять длину и координаты вектора, угол между векторами.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Максимальный первичный балл за выполнение работы увеличен с 31 до 32 баллов.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Информатика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Изменения структуры КИМ отсутствуют.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Задание 13 в 2024 г. будет проверять умение использовать маску подсети при адресации в соответствии с протоколом IP.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Физика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1. В 2024 г. изменена структура КИМ ЕГЭ по физике: число заданий сокращено с 30 до 26. При этом в первой части работы удалены интегрированное задание на распознавание графических зависимостей и два задания на определение соответствия формул и физических величин по механике и электродинамике; во второй части работы удалено одно из заданий высокого уровня сложности (расчётная задача). Одно </w:t>
      </w:r>
      <w:proofErr w:type="gramStart"/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заданий с кратким ответом в виде числа в первой части работы перенесено из раздела</w:t>
      </w:r>
      <w:proofErr w:type="gramEnd"/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«МКТ и термодинамика» в раздел «Механика».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 Сокращён общий объём проверяемых элементов содержания, а также спектр проверяемых элементов содержания в заданиях базового уровня с кратким ответом, что отражено в кодификаторе элементов содержания и обобщённом плане варианта КИМ ЕГЭ по физике.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3. Максимальный первичный балл изменён с 54 до 45 баллов.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Биология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Исключено задание 20 по нумерации 2023 г.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Общее число заданий сократилось с 29 до 28. Максимальный первичный балл изменён с 59 до 57 баллов.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История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Детализирована структура задания 18 на установление причинно-следственных связей.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География</w:t>
      </w:r>
      <w:proofErr w:type="gramStart"/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</w:t>
      </w:r>
      <w:proofErr w:type="gramEnd"/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 экзаменационной работы 2024 г. исключены задания 22 и 23 (по нумерации КИМ ЕГЭ 2023 г.) с топографической картой (определение азимута и построение профиля). Общее число заданий в экзаменационной работе сократилось с 31 до 29. Максимальный первичный балл изменён с 43 до 39 баллов.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Обществознание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Скорректирована формулировка и внесены изменения в систему оценивания выполнения задания 24 (критерий 24.1).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Иностранные языки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BF0BC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(английский, немецкий, французский, испанский языки)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Изменения в содержании КИМ отсутствуют.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В соответствии с измененным в 2022 г. ФГОС среднего общего образования изменена система уровней сложности экзаменационных заданий. Все задания распределены по двум уровням сложности: базовому (соответствует требованиям к результатам </w:t>
      </w:r>
      <w:proofErr w:type="gramStart"/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обучения по программе</w:t>
      </w:r>
      <w:proofErr w:type="gramEnd"/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базового уровня) и высокому (соответствует требованиям к результатам обучения по программе углубленного уровня).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Уточнены формулировки задания 38 письменной части и задания 4 устной части, а также критерии оценивания ответов на задания 4 устной части.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Уменьшено максимальное количество баллов за выполнение заданий 1, 2, 10 и 11. Максимальный балл за верное выполнение каждого из заданий 1 и 11 стал равен 2 баллам, за верное выполнение заданий 2 и 10 – 3 баллам.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Максимальный первичный балл за выполнение работы изменён со 86 до 82 баллов.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Китайский язык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Изменения в содержании КИМ отсутствуют.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В соответствии с обновлением в 2022 г. ФГОС среднего общего 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образования изменена система уровней сложности экзаменационных заданий. Все задания распределены по двум уровням сложности: базовому (соответствует требованиям к результатам </w:t>
      </w:r>
      <w:proofErr w:type="gramStart"/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обучения по программе</w:t>
      </w:r>
      <w:proofErr w:type="gramEnd"/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базового уровня) и высокому (соответствует требованиям к результатам обучения по программе углубленного уровня).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Уточнены формулировки задания 29 письменной части и задания 3 устной части, а также критерии оценивания ответов на задания 3 устной части.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Математика (базовый уровень)</w:t>
      </w:r>
      <w:r w:rsidRPr="00BF0BC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Химия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Изменений нет.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Демоверсии прошлых лет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 </w:t>
      </w:r>
      <w:hyperlink r:id="rId5" w:history="1">
        <w:r w:rsidRPr="00BF0BC8">
          <w:rPr>
            <w:rFonts w:ascii="Arial" w:eastAsia="Times New Roman" w:hAnsi="Arial" w:cs="Arial"/>
            <w:color w:val="3763C2"/>
            <w:sz w:val="26"/>
            <w:szCs w:val="26"/>
            <w:bdr w:val="none" w:sz="0" w:space="0" w:color="auto" w:frame="1"/>
            <w:lang w:eastAsia="ru-RU"/>
          </w:rPr>
          <w:t>2023</w:t>
        </w:r>
      </w:hyperlink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| </w:t>
      </w:r>
      <w:hyperlink r:id="rId6" w:history="1">
        <w:r w:rsidRPr="00BF0BC8">
          <w:rPr>
            <w:rFonts w:ascii="Arial" w:eastAsia="Times New Roman" w:hAnsi="Arial" w:cs="Arial"/>
            <w:color w:val="3763C2"/>
            <w:sz w:val="26"/>
            <w:szCs w:val="26"/>
            <w:bdr w:val="none" w:sz="0" w:space="0" w:color="auto" w:frame="1"/>
            <w:lang w:eastAsia="ru-RU"/>
          </w:rPr>
          <w:t>2022</w:t>
        </w:r>
      </w:hyperlink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| </w:t>
      </w:r>
      <w:hyperlink r:id="rId7" w:history="1">
        <w:r w:rsidRPr="00BF0BC8">
          <w:rPr>
            <w:rFonts w:ascii="Arial" w:eastAsia="Times New Roman" w:hAnsi="Arial" w:cs="Arial"/>
            <w:color w:val="3763C2"/>
            <w:sz w:val="26"/>
            <w:szCs w:val="26"/>
            <w:bdr w:val="none" w:sz="0" w:space="0" w:color="auto" w:frame="1"/>
            <w:lang w:eastAsia="ru-RU"/>
          </w:rPr>
          <w:t>2021</w:t>
        </w:r>
      </w:hyperlink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| </w:t>
      </w:r>
      <w:hyperlink r:id="rId8" w:history="1">
        <w:r w:rsidRPr="00BF0BC8">
          <w:rPr>
            <w:rFonts w:ascii="Arial" w:eastAsia="Times New Roman" w:hAnsi="Arial" w:cs="Arial"/>
            <w:color w:val="3763C2"/>
            <w:sz w:val="26"/>
            <w:szCs w:val="26"/>
            <w:bdr w:val="none" w:sz="0" w:space="0" w:color="auto" w:frame="1"/>
            <w:lang w:eastAsia="ru-RU"/>
          </w:rPr>
          <w:t>2020</w:t>
        </w:r>
      </w:hyperlink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| </w:t>
      </w:r>
      <w:hyperlink r:id="rId9" w:history="1">
        <w:r w:rsidRPr="00BF0BC8">
          <w:rPr>
            <w:rFonts w:ascii="Arial" w:eastAsia="Times New Roman" w:hAnsi="Arial" w:cs="Arial"/>
            <w:color w:val="3763C2"/>
            <w:sz w:val="26"/>
            <w:szCs w:val="26"/>
            <w:bdr w:val="none" w:sz="0" w:space="0" w:color="auto" w:frame="1"/>
            <w:lang w:eastAsia="ru-RU"/>
          </w:rPr>
          <w:t>2019</w:t>
        </w:r>
      </w:hyperlink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| </w:t>
      </w:r>
      <w:hyperlink r:id="rId10" w:history="1">
        <w:r w:rsidRPr="00BF0BC8">
          <w:rPr>
            <w:rFonts w:ascii="Arial" w:eastAsia="Times New Roman" w:hAnsi="Arial" w:cs="Arial"/>
            <w:color w:val="3763C2"/>
            <w:sz w:val="26"/>
            <w:szCs w:val="26"/>
            <w:bdr w:val="none" w:sz="0" w:space="0" w:color="auto" w:frame="1"/>
            <w:lang w:eastAsia="ru-RU"/>
          </w:rPr>
          <w:t>2018</w:t>
        </w:r>
      </w:hyperlink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| </w:t>
      </w:r>
      <w:hyperlink r:id="rId11" w:history="1">
        <w:r w:rsidRPr="00BF0BC8">
          <w:rPr>
            <w:rFonts w:ascii="Arial" w:eastAsia="Times New Roman" w:hAnsi="Arial" w:cs="Arial"/>
            <w:color w:val="3763C2"/>
            <w:sz w:val="26"/>
            <w:szCs w:val="26"/>
            <w:bdr w:val="none" w:sz="0" w:space="0" w:color="auto" w:frame="1"/>
            <w:lang w:eastAsia="ru-RU"/>
          </w:rPr>
          <w:t>2017</w:t>
        </w:r>
      </w:hyperlink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| </w:t>
      </w:r>
      <w:hyperlink r:id="rId12" w:history="1">
        <w:r w:rsidRPr="00BF0BC8">
          <w:rPr>
            <w:rFonts w:ascii="Arial" w:eastAsia="Times New Roman" w:hAnsi="Arial" w:cs="Arial"/>
            <w:color w:val="3763C2"/>
            <w:sz w:val="26"/>
            <w:szCs w:val="26"/>
            <w:bdr w:val="none" w:sz="0" w:space="0" w:color="auto" w:frame="1"/>
            <w:lang w:eastAsia="ru-RU"/>
          </w:rPr>
          <w:t>2016</w:t>
        </w:r>
      </w:hyperlink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| </w:t>
      </w:r>
      <w:hyperlink r:id="rId13" w:history="1">
        <w:r w:rsidRPr="00BF0BC8">
          <w:rPr>
            <w:rFonts w:ascii="Arial" w:eastAsia="Times New Roman" w:hAnsi="Arial" w:cs="Arial"/>
            <w:color w:val="3763C2"/>
            <w:sz w:val="26"/>
            <w:szCs w:val="26"/>
            <w:bdr w:val="none" w:sz="0" w:space="0" w:color="auto" w:frame="1"/>
            <w:lang w:eastAsia="ru-RU"/>
          </w:rPr>
          <w:t>2015</w:t>
        </w:r>
      </w:hyperlink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| </w:t>
      </w:r>
      <w:hyperlink r:id="rId14" w:history="1">
        <w:r w:rsidRPr="00BF0BC8">
          <w:rPr>
            <w:rFonts w:ascii="Arial" w:eastAsia="Times New Roman" w:hAnsi="Arial" w:cs="Arial"/>
            <w:color w:val="3763C2"/>
            <w:sz w:val="26"/>
            <w:szCs w:val="26"/>
            <w:bdr w:val="none" w:sz="0" w:space="0" w:color="auto" w:frame="1"/>
            <w:lang w:eastAsia="ru-RU"/>
          </w:rPr>
          <w:t>2014</w:t>
        </w:r>
      </w:hyperlink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| </w:t>
      </w:r>
      <w:hyperlink r:id="rId15" w:history="1">
        <w:r w:rsidRPr="00BF0BC8">
          <w:rPr>
            <w:rFonts w:ascii="Arial" w:eastAsia="Times New Roman" w:hAnsi="Arial" w:cs="Arial"/>
            <w:color w:val="3763C2"/>
            <w:sz w:val="26"/>
            <w:szCs w:val="26"/>
            <w:bdr w:val="none" w:sz="0" w:space="0" w:color="auto" w:frame="1"/>
            <w:lang w:eastAsia="ru-RU"/>
          </w:rPr>
          <w:t>2013</w:t>
        </w:r>
      </w:hyperlink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| </w:t>
      </w:r>
      <w:hyperlink r:id="rId16" w:history="1">
        <w:r w:rsidRPr="00BF0BC8">
          <w:rPr>
            <w:rFonts w:ascii="Arial" w:eastAsia="Times New Roman" w:hAnsi="Arial" w:cs="Arial"/>
            <w:color w:val="3763C2"/>
            <w:sz w:val="26"/>
            <w:szCs w:val="26"/>
            <w:bdr w:val="none" w:sz="0" w:space="0" w:color="auto" w:frame="1"/>
            <w:lang w:eastAsia="ru-RU"/>
          </w:rPr>
          <w:t>2012</w:t>
        </w:r>
      </w:hyperlink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| </w:t>
      </w:r>
      <w:hyperlink r:id="rId17" w:history="1">
        <w:r w:rsidRPr="00BF0BC8">
          <w:rPr>
            <w:rFonts w:ascii="Arial" w:eastAsia="Times New Roman" w:hAnsi="Arial" w:cs="Arial"/>
            <w:color w:val="3763C2"/>
            <w:sz w:val="26"/>
            <w:szCs w:val="26"/>
            <w:bdr w:val="none" w:sz="0" w:space="0" w:color="auto" w:frame="1"/>
            <w:lang w:eastAsia="ru-RU"/>
          </w:rPr>
          <w:t>2004-2009</w:t>
        </w:r>
      </w:hyperlink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F0BC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Реальные варианты ЕГЭ 2023:</w:t>
      </w:r>
      <w:r w:rsidRPr="00BF0B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18" w:history="1">
        <w:r w:rsidRPr="00BF0BC8">
          <w:rPr>
            <w:rFonts w:ascii="Arial" w:eastAsia="Times New Roman" w:hAnsi="Arial" w:cs="Arial"/>
            <w:color w:val="3763C2"/>
            <w:sz w:val="26"/>
            <w:szCs w:val="26"/>
            <w:bdr w:val="none" w:sz="0" w:space="0" w:color="auto" w:frame="1"/>
            <w:lang w:eastAsia="ru-RU"/>
          </w:rPr>
          <w:t>4ege.ru/materials_podgotovka/67480-realnye-varianty-ege-2023.html</w:t>
        </w:r>
      </w:hyperlink>
    </w:p>
    <w:p w:rsidR="00D83B30" w:rsidRDefault="00D83B30">
      <w:bookmarkStart w:id="0" w:name="_GoBack"/>
      <w:bookmarkEnd w:id="0"/>
    </w:p>
    <w:sectPr w:rsidR="00D8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C8"/>
    <w:rsid w:val="00BF0BC8"/>
    <w:rsid w:val="00D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81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ge.ru/novosti-ege/58115-demoversii-ege-2020.html" TargetMode="External"/><Relationship Id="rId13" Type="http://schemas.openxmlformats.org/officeDocument/2006/relationships/hyperlink" Target="https://4ege.ru/novosti-ege/5660-demoversii-ege-2015-po-vsem-predmetam.html" TargetMode="External"/><Relationship Id="rId18" Type="http://schemas.openxmlformats.org/officeDocument/2006/relationships/hyperlink" Target="https://4ege.ru/materials_podgotovka/67480-realnye-varianty-ege-20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ege.ru/novosti-ege/59930-demoversii-ege-2021.html" TargetMode="External"/><Relationship Id="rId12" Type="http://schemas.openxmlformats.org/officeDocument/2006/relationships/hyperlink" Target="https://4ege.ru/novosti-ege/51093-demoversii-ege-2016.html" TargetMode="External"/><Relationship Id="rId17" Type="http://schemas.openxmlformats.org/officeDocument/2006/relationships/hyperlink" Target="https://4ege.ru/materials_podgotovka/5686-demoversii-ege-2004-2009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4ege.ru/novosti-ege/1501-demoversii-ege-2012-po-vsem-predmetam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4ege.ru/novosti-ege/62328-demoversii-ege-2022-v2.html" TargetMode="External"/><Relationship Id="rId11" Type="http://schemas.openxmlformats.org/officeDocument/2006/relationships/hyperlink" Target="https://4ege.ru/materials_podgotovka/52901-demoversii-ege-2017-po-vsem-predmetam.html" TargetMode="External"/><Relationship Id="rId5" Type="http://schemas.openxmlformats.org/officeDocument/2006/relationships/hyperlink" Target="https://4ege.ru/novosti-ege/65456-demoversii-ege-2023-v2.html" TargetMode="External"/><Relationship Id="rId15" Type="http://schemas.openxmlformats.org/officeDocument/2006/relationships/hyperlink" Target="https://4ege.ru/novosti-ege/2565-demoversii-ege-2013-po-vsem-predmetam.html" TargetMode="External"/><Relationship Id="rId10" Type="http://schemas.openxmlformats.org/officeDocument/2006/relationships/hyperlink" Target="https://4ege.ru/materials_podgotovka/55226-demoversii-ege-2018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4ege.ru/materials_podgotovka/56813-demoversii-ege-2019.html" TargetMode="External"/><Relationship Id="rId14" Type="http://schemas.openxmlformats.org/officeDocument/2006/relationships/hyperlink" Target="https://4ege.ru/novosti-ege/4186-demoversii-ege-2014-po-vsem-predmet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Костюнина</dc:creator>
  <cp:lastModifiedBy>А.А. Костюнина</cp:lastModifiedBy>
  <cp:revision>1</cp:revision>
  <dcterms:created xsi:type="dcterms:W3CDTF">2023-12-01T08:46:00Z</dcterms:created>
  <dcterms:modified xsi:type="dcterms:W3CDTF">2023-12-01T08:47:00Z</dcterms:modified>
</cp:coreProperties>
</file>